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A2E6" w14:textId="22D40036" w:rsidR="00E526AA" w:rsidRDefault="00E526AA"/>
    <w:p w14:paraId="156E8D06" w14:textId="77777777" w:rsidR="008F5B39" w:rsidRDefault="008F5B39"/>
    <w:p w14:paraId="19E5DADE" w14:textId="77777777" w:rsidR="008F5B39" w:rsidRDefault="008F5B39"/>
    <w:p w14:paraId="7DD61E93" w14:textId="3BABC88C" w:rsidR="008F5B39" w:rsidRDefault="008F5B39">
      <w:r>
        <w:rPr>
          <w:noProof/>
        </w:rPr>
        <w:drawing>
          <wp:inline distT="0" distB="0" distL="0" distR="0" wp14:anchorId="48396CF7" wp14:editId="3A18D07D">
            <wp:extent cx="5585460" cy="2351344"/>
            <wp:effectExtent l="0" t="0" r="0" b="0"/>
            <wp:docPr id="2" name="Slika 1" descr="Grafikon obrasca odgovora. Naslov pitanja: Koliko konkurencija bi veterani na PH i HK trebali maksimalno moći igrati?. Broj odgovora: 44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on obrasca odgovora. Naslov pitanja: Koliko konkurencija bi veterani na PH i HK trebali maksimalno moći igrati?. Broj odgovora: 44 odgovor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163" cy="23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B39" w:rsidSect="00D30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39"/>
    <w:rsid w:val="000461F1"/>
    <w:rsid w:val="008F5B39"/>
    <w:rsid w:val="00C65ADA"/>
    <w:rsid w:val="00C90FD5"/>
    <w:rsid w:val="00CC7784"/>
    <w:rsid w:val="00D300CF"/>
    <w:rsid w:val="00E526AA"/>
    <w:rsid w:val="00E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1FF2"/>
  <w15:chartTrackingRefBased/>
  <w15:docId w15:val="{8F808221-BE87-48FB-A24C-AA62041B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Hrvatski badmintonski savez OIB 15918238976</dc:creator>
  <cp:keywords/>
  <dc:description/>
  <cp:lastModifiedBy>Hrvatski badmintonski savez OIB 15918238976</cp:lastModifiedBy>
  <cp:revision>4</cp:revision>
  <dcterms:created xsi:type="dcterms:W3CDTF">2024-01-30T17:54:00Z</dcterms:created>
  <dcterms:modified xsi:type="dcterms:W3CDTF">2024-02-19T09:47:00Z</dcterms:modified>
</cp:coreProperties>
</file>